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5D" w:rsidRDefault="00E701D1" w:rsidP="00D66A42">
      <w:pPr>
        <w:spacing w:after="0"/>
      </w:pPr>
      <w:r w:rsidRPr="00E91639">
        <w:rPr>
          <w:rFonts w:ascii="Calibri" w:hAnsi="Calibri" w:cs="Calibri"/>
          <w:b/>
          <w:noProof/>
          <w:sz w:val="20"/>
        </w:rPr>
        <w:drawing>
          <wp:anchor distT="0" distB="0" distL="114300" distR="114300" simplePos="0" relativeHeight="251661312" behindDoc="0" locked="0" layoutInCell="1" allowOverlap="1">
            <wp:simplePos x="0" y="0"/>
            <wp:positionH relativeFrom="page">
              <wp:posOffset>6163854</wp:posOffset>
            </wp:positionH>
            <wp:positionV relativeFrom="margin">
              <wp:posOffset>-13970</wp:posOffset>
            </wp:positionV>
            <wp:extent cx="1523365"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 Beauty School Logo tight crop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1524000"/>
                    </a:xfrm>
                    <a:prstGeom prst="rect">
                      <a:avLst/>
                    </a:prstGeom>
                  </pic:spPr>
                </pic:pic>
              </a:graphicData>
            </a:graphic>
          </wp:anchor>
        </w:drawing>
      </w:r>
      <w:r w:rsidR="00056949" w:rsidRPr="00E91639">
        <w:rPr>
          <w:b/>
        </w:rPr>
        <w:br/>
      </w:r>
    </w:p>
    <w:p w:rsidR="00D66A42" w:rsidRDefault="00FE715D" w:rsidP="00FE715D">
      <w:pPr>
        <w:pStyle w:val="Heading1"/>
        <w:rPr>
          <w:rFonts w:eastAsiaTheme="minorHAnsi"/>
          <w:b/>
          <w:noProof/>
          <w:sz w:val="44"/>
          <w:szCs w:val="22"/>
        </w:rPr>
      </w:pPr>
      <w:r w:rsidRPr="00FE715D">
        <w:rPr>
          <w:rFonts w:eastAsiaTheme="minorHAnsi"/>
          <w:b/>
          <w:noProof/>
          <w:sz w:val="44"/>
          <w:szCs w:val="22"/>
        </w:rPr>
        <w:t xml:space="preserve">SATISFACTORY ACADEMIC PROGRESS </w:t>
      </w:r>
    </w:p>
    <w:p w:rsidR="00FE715D" w:rsidRPr="00FE715D" w:rsidRDefault="00FE715D" w:rsidP="00FE715D">
      <w:pPr>
        <w:pStyle w:val="Heading1"/>
        <w:rPr>
          <w:rFonts w:eastAsiaTheme="minorHAnsi"/>
          <w:b/>
          <w:noProof/>
          <w:sz w:val="44"/>
          <w:szCs w:val="22"/>
        </w:rPr>
      </w:pPr>
      <w:r w:rsidRPr="00FE715D">
        <w:rPr>
          <w:rFonts w:eastAsiaTheme="minorHAnsi"/>
          <w:b/>
          <w:noProof/>
          <w:sz w:val="44"/>
          <w:szCs w:val="22"/>
        </w:rPr>
        <w:t>(SAP) POLICY</w:t>
      </w:r>
    </w:p>
    <w:p w:rsidR="00D66A42" w:rsidRDefault="00D66A42" w:rsidP="00FE715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Style w:val="jsgrdq"/>
          <w:color w:val="000000"/>
        </w:rPr>
      </w:pPr>
    </w:p>
    <w:p w:rsidR="00FE715D" w:rsidRPr="00FE715D" w:rsidRDefault="00FE715D" w:rsidP="00FE715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Style w:val="jsgrdq"/>
          <w:color w:val="000000"/>
        </w:rPr>
      </w:pPr>
      <w:r w:rsidRPr="00FE715D">
        <w:rPr>
          <w:rStyle w:val="jsgrdq"/>
          <w:color w:val="000000"/>
        </w:rPr>
        <w:t>The Satisfactory Academic Progress (SAP) Policy is consistently applied to all students enrolled at the school, regardless of a student’s schedule, or payment (cash pay vs. financial aid).  It is printed in this catalog to ensure all students receive a copy prior to enrollment. The policy complies with the guidelines established by the National Accrediting Commission of Career Arts and Sciences (NACCAS) and the federal regulations established by the United States Department of Education.</w:t>
      </w:r>
    </w:p>
    <w:p w:rsidR="00FE715D" w:rsidRPr="00FE715D" w:rsidRDefault="00FE715D" w:rsidP="00FE715D">
      <w:pPr>
        <w:rPr>
          <w:rStyle w:val="jsgrdq"/>
          <w:color w:val="000000"/>
        </w:rPr>
      </w:pPr>
      <w:r w:rsidRPr="00FE715D">
        <w:rPr>
          <w:rStyle w:val="jsgrdq"/>
          <w:color w:val="000000"/>
        </w:rPr>
        <w:t xml:space="preserve">The school utilizes a combination of attendance, written, oral and performance practical testing to determine student’s SAP via quantitative and qualitative measures:  </w:t>
      </w:r>
    </w:p>
    <w:p w:rsidR="00D66A42" w:rsidRDefault="00FE715D" w:rsidP="00D66A42">
      <w:pPr>
        <w:ind w:firstLine="720"/>
        <w:rPr>
          <w:rStyle w:val="jsgrdq"/>
          <w:color w:val="000000"/>
        </w:rPr>
      </w:pPr>
      <w:r w:rsidRPr="00FE715D">
        <w:rPr>
          <w:rStyle w:val="jsgrdq"/>
          <w:color w:val="000000"/>
        </w:rPr>
        <w:t>Quantitative - in terms of cumulative clock hours</w:t>
      </w:r>
    </w:p>
    <w:p w:rsidR="00FE715D" w:rsidRPr="00FE715D" w:rsidRDefault="00FE715D" w:rsidP="00D66A42">
      <w:pPr>
        <w:ind w:firstLine="720"/>
        <w:rPr>
          <w:rStyle w:val="jsgrdq"/>
          <w:color w:val="000000"/>
        </w:rPr>
      </w:pPr>
      <w:r w:rsidRPr="00FE715D">
        <w:rPr>
          <w:rStyle w:val="jsgrdq"/>
          <w:color w:val="000000"/>
        </w:rPr>
        <w:t>Qualitative – in terms of cumulative practical work and cumulative theory tests</w:t>
      </w:r>
    </w:p>
    <w:p w:rsidR="00FE715D" w:rsidRPr="00FE715D" w:rsidRDefault="00FE715D" w:rsidP="00FE715D">
      <w:pPr>
        <w:pStyle w:val="BodyText"/>
        <w:rPr>
          <w:rStyle w:val="jsgrdq"/>
          <w:rFonts w:asciiTheme="minorHAnsi" w:eastAsiaTheme="minorHAnsi" w:hAnsiTheme="minorHAnsi" w:cstheme="minorBidi"/>
          <w:color w:val="000000"/>
          <w:sz w:val="22"/>
          <w:szCs w:val="22"/>
        </w:rPr>
      </w:pPr>
      <w:r w:rsidRPr="00FE715D">
        <w:rPr>
          <w:rStyle w:val="jsgrdq"/>
          <w:rFonts w:asciiTheme="minorHAnsi" w:eastAsiaTheme="minorHAnsi" w:hAnsiTheme="minorHAnsi" w:cstheme="minorBidi"/>
          <w:color w:val="000000"/>
          <w:sz w:val="22"/>
          <w:szCs w:val="22"/>
        </w:rPr>
        <w:t>In order to maintain SAP, students must meet the following requirements:</w:t>
      </w:r>
    </w:p>
    <w:p w:rsidR="00FE715D" w:rsidRPr="00FE715D" w:rsidRDefault="00FE715D" w:rsidP="00FE715D">
      <w:pPr>
        <w:pStyle w:val="BodyText"/>
        <w:rPr>
          <w:rStyle w:val="jsgrdq"/>
          <w:rFonts w:asciiTheme="minorHAnsi" w:eastAsiaTheme="minorHAnsi" w:hAnsiTheme="minorHAnsi" w:cstheme="minorBidi"/>
          <w:color w:val="000000"/>
          <w:sz w:val="22"/>
          <w:szCs w:val="22"/>
        </w:rPr>
      </w:pPr>
      <w:r w:rsidRPr="00FE715D">
        <w:rPr>
          <w:rStyle w:val="jsgrdq"/>
          <w:rFonts w:asciiTheme="minorHAnsi" w:eastAsiaTheme="minorHAnsi" w:hAnsiTheme="minorHAnsi" w:cstheme="minorBidi"/>
          <w:color w:val="000000"/>
          <w:sz w:val="22"/>
          <w:szCs w:val="22"/>
        </w:rPr>
        <w:t>Academic – 75% Cumulative Grade Average AND</w:t>
      </w:r>
    </w:p>
    <w:p w:rsidR="00FE715D" w:rsidRPr="00FE715D" w:rsidRDefault="00FE715D" w:rsidP="00FE715D">
      <w:pPr>
        <w:pStyle w:val="BodyText"/>
        <w:rPr>
          <w:rStyle w:val="jsgrdq"/>
          <w:rFonts w:asciiTheme="minorHAnsi" w:eastAsiaTheme="minorHAnsi" w:hAnsiTheme="minorHAnsi" w:cstheme="minorBidi"/>
          <w:color w:val="000000"/>
          <w:sz w:val="22"/>
          <w:szCs w:val="22"/>
        </w:rPr>
      </w:pPr>
      <w:r w:rsidRPr="00FE715D">
        <w:rPr>
          <w:rStyle w:val="jsgrdq"/>
          <w:rFonts w:asciiTheme="minorHAnsi" w:eastAsiaTheme="minorHAnsi" w:hAnsiTheme="minorHAnsi" w:cstheme="minorBidi"/>
          <w:color w:val="000000"/>
          <w:sz w:val="22"/>
          <w:szCs w:val="22"/>
        </w:rPr>
        <w:t>Attendance – 90% Cumulative Attendance Average</w:t>
      </w:r>
    </w:p>
    <w:p w:rsidR="00D66A42" w:rsidRDefault="00D66A42" w:rsidP="00D66A42">
      <w:pPr>
        <w:pStyle w:val="NoSpacing"/>
        <w:rPr>
          <w:rStyle w:val="jsgrdq"/>
          <w:color w:val="000000"/>
        </w:rPr>
      </w:pPr>
    </w:p>
    <w:p w:rsidR="00FE715D" w:rsidRPr="00FE715D" w:rsidRDefault="00FE715D" w:rsidP="00FE715D">
      <w:pPr>
        <w:rPr>
          <w:rStyle w:val="jsgrdq"/>
          <w:color w:val="000000"/>
        </w:rPr>
      </w:pPr>
      <w:r w:rsidRPr="00FE715D">
        <w:rPr>
          <w:rStyle w:val="jsgrdq"/>
          <w:color w:val="000000"/>
        </w:rPr>
        <w:t>Student performance evaluation periods are based on actual hours completed:</w:t>
      </w:r>
    </w:p>
    <w:tbl>
      <w:tblPr>
        <w:tblStyle w:val="TableGrid"/>
        <w:tblW w:w="11340" w:type="dxa"/>
        <w:tblInd w:w="-275" w:type="dxa"/>
        <w:tblLook w:val="04A0" w:firstRow="1" w:lastRow="0" w:firstColumn="1" w:lastColumn="0" w:noHBand="0" w:noVBand="1"/>
      </w:tblPr>
      <w:tblGrid>
        <w:gridCol w:w="1886"/>
        <w:gridCol w:w="837"/>
        <w:gridCol w:w="2135"/>
        <w:gridCol w:w="2044"/>
        <w:gridCol w:w="2219"/>
        <w:gridCol w:w="2219"/>
      </w:tblGrid>
      <w:tr w:rsidR="00FE715D" w:rsidRPr="00FE715D" w:rsidTr="00D66A42">
        <w:trPr>
          <w:trHeight w:val="284"/>
        </w:trPr>
        <w:tc>
          <w:tcPr>
            <w:tcW w:w="1886" w:type="dxa"/>
            <w:vAlign w:val="bottom"/>
          </w:tcPr>
          <w:p w:rsidR="00FE715D" w:rsidRPr="00D66A42" w:rsidRDefault="00FE715D" w:rsidP="00D66A42">
            <w:pPr>
              <w:jc w:val="center"/>
              <w:rPr>
                <w:rStyle w:val="jsgrdq"/>
                <w:rFonts w:asciiTheme="minorHAnsi" w:hAnsiTheme="minorHAnsi"/>
                <w:b/>
                <w:color w:val="000000"/>
                <w:sz w:val="22"/>
              </w:rPr>
            </w:pPr>
            <w:r w:rsidRPr="00D66A42">
              <w:rPr>
                <w:rStyle w:val="jsgrdq"/>
                <w:rFonts w:asciiTheme="minorHAnsi" w:hAnsiTheme="minorHAnsi"/>
                <w:b/>
                <w:color w:val="000000"/>
                <w:sz w:val="22"/>
              </w:rPr>
              <w:t>Program</w:t>
            </w:r>
          </w:p>
        </w:tc>
        <w:tc>
          <w:tcPr>
            <w:tcW w:w="837" w:type="dxa"/>
            <w:vAlign w:val="bottom"/>
          </w:tcPr>
          <w:p w:rsidR="00FE715D" w:rsidRPr="00D66A42" w:rsidRDefault="00FE715D" w:rsidP="00D66A42">
            <w:pPr>
              <w:jc w:val="center"/>
              <w:rPr>
                <w:rStyle w:val="jsgrdq"/>
                <w:rFonts w:asciiTheme="minorHAnsi" w:hAnsiTheme="minorHAnsi"/>
                <w:b/>
                <w:color w:val="000000"/>
                <w:sz w:val="22"/>
              </w:rPr>
            </w:pPr>
            <w:r w:rsidRPr="00D66A42">
              <w:rPr>
                <w:rStyle w:val="jsgrdq"/>
                <w:rFonts w:asciiTheme="minorHAnsi" w:hAnsiTheme="minorHAnsi"/>
                <w:b/>
                <w:color w:val="000000"/>
                <w:sz w:val="22"/>
              </w:rPr>
              <w:t>Total Length</w:t>
            </w:r>
          </w:p>
        </w:tc>
        <w:tc>
          <w:tcPr>
            <w:tcW w:w="8617" w:type="dxa"/>
            <w:gridSpan w:val="4"/>
            <w:vAlign w:val="bottom"/>
          </w:tcPr>
          <w:p w:rsidR="00FE715D" w:rsidRPr="00D66A42" w:rsidRDefault="00FE715D" w:rsidP="00D66A42">
            <w:pPr>
              <w:jc w:val="center"/>
              <w:rPr>
                <w:rStyle w:val="jsgrdq"/>
                <w:rFonts w:asciiTheme="minorHAnsi" w:hAnsiTheme="minorHAnsi"/>
                <w:b/>
                <w:color w:val="000000"/>
                <w:sz w:val="22"/>
              </w:rPr>
            </w:pPr>
            <w:r w:rsidRPr="00D66A42">
              <w:rPr>
                <w:rStyle w:val="jsgrdq"/>
                <w:rFonts w:asciiTheme="minorHAnsi" w:hAnsiTheme="minorHAnsi"/>
                <w:b/>
                <w:color w:val="000000"/>
                <w:sz w:val="22"/>
              </w:rPr>
              <w:t>Evaluation Periods in actual, cumulative hours</w:t>
            </w:r>
          </w:p>
        </w:tc>
      </w:tr>
      <w:tr w:rsidR="00FE715D" w:rsidRPr="00FE715D" w:rsidTr="00D66A42">
        <w:trPr>
          <w:trHeight w:val="284"/>
        </w:trPr>
        <w:tc>
          <w:tcPr>
            <w:tcW w:w="1886" w:type="dxa"/>
          </w:tcPr>
          <w:p w:rsidR="00FE715D" w:rsidRPr="00FE715D" w:rsidRDefault="00FE715D" w:rsidP="00D47B74">
            <w:pPr>
              <w:rPr>
                <w:rStyle w:val="jsgrdq"/>
                <w:rFonts w:asciiTheme="minorHAnsi" w:hAnsiTheme="minorHAnsi"/>
                <w:color w:val="000000"/>
                <w:sz w:val="22"/>
              </w:rPr>
            </w:pPr>
            <w:r w:rsidRPr="00FE715D">
              <w:rPr>
                <w:rStyle w:val="jsgrdq"/>
                <w:rFonts w:asciiTheme="minorHAnsi" w:hAnsiTheme="minorHAnsi"/>
                <w:color w:val="000000"/>
                <w:sz w:val="22"/>
              </w:rPr>
              <w:t>Cosmetology</w:t>
            </w:r>
          </w:p>
        </w:tc>
        <w:tc>
          <w:tcPr>
            <w:tcW w:w="837"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1800</w:t>
            </w:r>
          </w:p>
        </w:tc>
        <w:tc>
          <w:tcPr>
            <w:tcW w:w="2135"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450 hours /13 weeks</w:t>
            </w:r>
          </w:p>
        </w:tc>
        <w:tc>
          <w:tcPr>
            <w:tcW w:w="2044"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900 hours/26 weeks</w:t>
            </w:r>
          </w:p>
        </w:tc>
        <w:tc>
          <w:tcPr>
            <w:tcW w:w="2219"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1350 hours/39 weeks</w:t>
            </w:r>
          </w:p>
        </w:tc>
        <w:tc>
          <w:tcPr>
            <w:tcW w:w="2219" w:type="dxa"/>
          </w:tcPr>
          <w:p w:rsidR="00FE715D" w:rsidRPr="00FE715D" w:rsidRDefault="00FE715D" w:rsidP="00D47B74">
            <w:pPr>
              <w:jc w:val="center"/>
              <w:rPr>
                <w:rStyle w:val="jsgrdq"/>
                <w:rFonts w:asciiTheme="minorHAnsi" w:hAnsiTheme="minorHAnsi"/>
                <w:color w:val="000000"/>
                <w:sz w:val="22"/>
              </w:rPr>
            </w:pPr>
          </w:p>
        </w:tc>
      </w:tr>
      <w:tr w:rsidR="00FE715D" w:rsidRPr="00FE715D" w:rsidTr="00D66A42">
        <w:trPr>
          <w:trHeight w:val="284"/>
        </w:trPr>
        <w:tc>
          <w:tcPr>
            <w:tcW w:w="1886" w:type="dxa"/>
          </w:tcPr>
          <w:p w:rsidR="00FE715D" w:rsidRPr="00FE715D" w:rsidRDefault="00FE715D" w:rsidP="00D47B74">
            <w:pPr>
              <w:rPr>
                <w:rStyle w:val="jsgrdq"/>
                <w:rFonts w:asciiTheme="minorHAnsi" w:hAnsiTheme="minorHAnsi"/>
                <w:color w:val="000000"/>
                <w:sz w:val="22"/>
              </w:rPr>
            </w:pPr>
            <w:r w:rsidRPr="00FE715D">
              <w:rPr>
                <w:rStyle w:val="jsgrdq"/>
                <w:rFonts w:asciiTheme="minorHAnsi" w:hAnsiTheme="minorHAnsi"/>
                <w:color w:val="000000"/>
                <w:sz w:val="22"/>
              </w:rPr>
              <w:t>Cosmetology 2100</w:t>
            </w:r>
          </w:p>
        </w:tc>
        <w:tc>
          <w:tcPr>
            <w:tcW w:w="837"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2100</w:t>
            </w:r>
          </w:p>
        </w:tc>
        <w:tc>
          <w:tcPr>
            <w:tcW w:w="2135"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450 hours/13 weeks</w:t>
            </w:r>
          </w:p>
        </w:tc>
        <w:tc>
          <w:tcPr>
            <w:tcW w:w="2044"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900 hours/26 weeks</w:t>
            </w:r>
          </w:p>
        </w:tc>
        <w:tc>
          <w:tcPr>
            <w:tcW w:w="2219"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1350 hours/ 39 weeks</w:t>
            </w:r>
          </w:p>
        </w:tc>
        <w:tc>
          <w:tcPr>
            <w:tcW w:w="2219"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1800 hours/52 weeks</w:t>
            </w:r>
          </w:p>
        </w:tc>
      </w:tr>
      <w:tr w:rsidR="00FE715D" w:rsidRPr="00FE715D" w:rsidTr="00D66A42">
        <w:trPr>
          <w:trHeight w:val="284"/>
        </w:trPr>
        <w:tc>
          <w:tcPr>
            <w:tcW w:w="1886" w:type="dxa"/>
          </w:tcPr>
          <w:p w:rsidR="00FE715D" w:rsidRPr="00FE715D" w:rsidRDefault="00FE715D" w:rsidP="00D47B74">
            <w:pPr>
              <w:rPr>
                <w:rStyle w:val="jsgrdq"/>
                <w:rFonts w:asciiTheme="minorHAnsi" w:hAnsiTheme="minorHAnsi"/>
                <w:color w:val="000000"/>
                <w:sz w:val="22"/>
              </w:rPr>
            </w:pPr>
            <w:r w:rsidRPr="00FE715D">
              <w:rPr>
                <w:rStyle w:val="jsgrdq"/>
                <w:rFonts w:asciiTheme="minorHAnsi" w:hAnsiTheme="minorHAnsi"/>
                <w:color w:val="000000"/>
                <w:sz w:val="22"/>
              </w:rPr>
              <w:t>Esthetics</w:t>
            </w:r>
          </w:p>
        </w:tc>
        <w:tc>
          <w:tcPr>
            <w:tcW w:w="837"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600</w:t>
            </w:r>
          </w:p>
        </w:tc>
        <w:tc>
          <w:tcPr>
            <w:tcW w:w="2135"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300 hours/9 weeks</w:t>
            </w:r>
          </w:p>
        </w:tc>
        <w:tc>
          <w:tcPr>
            <w:tcW w:w="2044"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r>
      <w:tr w:rsidR="00FE715D" w:rsidRPr="00FE715D" w:rsidTr="00D66A42">
        <w:trPr>
          <w:trHeight w:val="284"/>
        </w:trPr>
        <w:tc>
          <w:tcPr>
            <w:tcW w:w="1886" w:type="dxa"/>
          </w:tcPr>
          <w:p w:rsidR="00FE715D" w:rsidRPr="00FE715D" w:rsidRDefault="00FE715D" w:rsidP="00D47B74">
            <w:pPr>
              <w:rPr>
                <w:rStyle w:val="jsgrdq"/>
                <w:rFonts w:asciiTheme="minorHAnsi" w:hAnsiTheme="minorHAnsi"/>
                <w:color w:val="000000"/>
                <w:sz w:val="22"/>
              </w:rPr>
            </w:pPr>
            <w:r w:rsidRPr="00FE715D">
              <w:rPr>
                <w:rStyle w:val="jsgrdq"/>
                <w:rFonts w:asciiTheme="minorHAnsi" w:hAnsiTheme="minorHAnsi"/>
                <w:color w:val="000000"/>
                <w:sz w:val="22"/>
              </w:rPr>
              <w:t>Cosmetology Instructor</w:t>
            </w:r>
          </w:p>
        </w:tc>
        <w:tc>
          <w:tcPr>
            <w:tcW w:w="837"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600</w:t>
            </w:r>
          </w:p>
        </w:tc>
        <w:tc>
          <w:tcPr>
            <w:tcW w:w="2135"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300 hours/12.5 weeks</w:t>
            </w:r>
          </w:p>
        </w:tc>
        <w:tc>
          <w:tcPr>
            <w:tcW w:w="2044"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r>
      <w:tr w:rsidR="00FE715D" w:rsidRPr="00FE715D" w:rsidTr="00D66A42">
        <w:trPr>
          <w:trHeight w:val="284"/>
        </w:trPr>
        <w:tc>
          <w:tcPr>
            <w:tcW w:w="1886" w:type="dxa"/>
          </w:tcPr>
          <w:p w:rsidR="00FE715D" w:rsidRPr="00FE715D" w:rsidRDefault="00FE715D" w:rsidP="00D47B74">
            <w:pPr>
              <w:rPr>
                <w:rStyle w:val="jsgrdq"/>
                <w:rFonts w:asciiTheme="minorHAnsi" w:hAnsiTheme="minorHAnsi"/>
                <w:color w:val="000000"/>
                <w:sz w:val="22"/>
              </w:rPr>
            </w:pPr>
            <w:r w:rsidRPr="00FE715D">
              <w:rPr>
                <w:rStyle w:val="jsgrdq"/>
                <w:rFonts w:asciiTheme="minorHAnsi" w:hAnsiTheme="minorHAnsi"/>
                <w:color w:val="000000"/>
                <w:sz w:val="22"/>
              </w:rPr>
              <w:t>Esthetics Instructor</w:t>
            </w:r>
          </w:p>
        </w:tc>
        <w:tc>
          <w:tcPr>
            <w:tcW w:w="837"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300</w:t>
            </w:r>
          </w:p>
        </w:tc>
        <w:tc>
          <w:tcPr>
            <w:tcW w:w="2135" w:type="dxa"/>
          </w:tcPr>
          <w:p w:rsidR="00FE715D" w:rsidRPr="00FE715D" w:rsidRDefault="00FE715D" w:rsidP="00D47B74">
            <w:pPr>
              <w:jc w:val="center"/>
              <w:rPr>
                <w:rStyle w:val="jsgrdq"/>
                <w:rFonts w:asciiTheme="minorHAnsi" w:hAnsiTheme="minorHAnsi"/>
                <w:color w:val="000000"/>
                <w:sz w:val="22"/>
              </w:rPr>
            </w:pPr>
            <w:r w:rsidRPr="00FE715D">
              <w:rPr>
                <w:rStyle w:val="jsgrdq"/>
                <w:rFonts w:asciiTheme="minorHAnsi" w:hAnsiTheme="minorHAnsi"/>
                <w:color w:val="000000"/>
                <w:sz w:val="22"/>
              </w:rPr>
              <w:t>150 hours/6.25 weeks</w:t>
            </w:r>
          </w:p>
        </w:tc>
        <w:tc>
          <w:tcPr>
            <w:tcW w:w="2044"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c>
          <w:tcPr>
            <w:tcW w:w="2219" w:type="dxa"/>
          </w:tcPr>
          <w:p w:rsidR="00FE715D" w:rsidRPr="00FE715D" w:rsidRDefault="00FE715D" w:rsidP="00D47B74">
            <w:pPr>
              <w:jc w:val="center"/>
              <w:rPr>
                <w:rStyle w:val="jsgrdq"/>
                <w:rFonts w:asciiTheme="minorHAnsi" w:hAnsiTheme="minorHAnsi"/>
                <w:color w:val="000000"/>
                <w:sz w:val="22"/>
              </w:rPr>
            </w:pPr>
          </w:p>
        </w:tc>
      </w:tr>
    </w:tbl>
    <w:p w:rsidR="00D66A42" w:rsidRDefault="00D66A42" w:rsidP="00D66A42">
      <w:pPr>
        <w:pStyle w:val="NoSpacing"/>
        <w:rPr>
          <w:rStyle w:val="jsgrdq"/>
          <w:color w:val="000000"/>
        </w:rPr>
      </w:pPr>
    </w:p>
    <w:p w:rsidR="00FE715D" w:rsidRPr="00FE715D" w:rsidRDefault="00FE715D" w:rsidP="00FE715D">
      <w:pPr>
        <w:rPr>
          <w:rStyle w:val="jsgrdq"/>
          <w:color w:val="000000"/>
        </w:rPr>
      </w:pPr>
      <w:r w:rsidRPr="00FE715D">
        <w:rPr>
          <w:rStyle w:val="jsgrdq"/>
          <w:color w:val="000000"/>
        </w:rPr>
        <w:t>The frequency of evaluations ensures that students receive a written evaluation at the midpoint of the program, or the academic year, whichever comes first.  An academic year is defined as 900 clock hours in 26 academic weeks.  Evaluations scheduled between 0 and 900 clock hours occur in Academic Year One, and evaluations scheduled between 901 and 1800 clock hours occur in Academic Year Two.</w:t>
      </w:r>
    </w:p>
    <w:p w:rsidR="00FE715D" w:rsidRPr="00FE715D" w:rsidRDefault="00FE715D" w:rsidP="00FE715D">
      <w:pPr>
        <w:rPr>
          <w:b/>
          <w:sz w:val="32"/>
        </w:rPr>
      </w:pPr>
      <w:r w:rsidRPr="00FE715D">
        <w:rPr>
          <w:b/>
          <w:sz w:val="32"/>
        </w:rPr>
        <w:t>ATTENDANCE PROGRESS EVALUATIONS</w:t>
      </w:r>
    </w:p>
    <w:p w:rsidR="00FE715D" w:rsidRPr="00FE715D" w:rsidRDefault="00FE715D" w:rsidP="00FE715D">
      <w:pPr>
        <w:rPr>
          <w:rStyle w:val="jsgrdq"/>
          <w:color w:val="000000"/>
        </w:rPr>
      </w:pPr>
      <w:r w:rsidRPr="00FE715D">
        <w:rPr>
          <w:rStyle w:val="jsgrdq"/>
          <w:color w:val="000000"/>
        </w:rPr>
        <w:t xml:space="preserve">Students are required to attend a minimum of 90% of the hours possible based on the applicable attendance schedule in order to be considered maintaining SAP.  The attendance percentage is determined by dividing the total hours accrued (actual hours) by the total number of hours scheduled.  </w:t>
      </w:r>
    </w:p>
    <w:p w:rsidR="00FE715D" w:rsidRPr="00B54A04" w:rsidRDefault="00FE715D" w:rsidP="00FE715D">
      <w:pPr>
        <w:rPr>
          <w:rFonts w:ascii="Century Gothic" w:hAnsi="Century Gothic"/>
          <w:b/>
          <w:sz w:val="20"/>
          <w:szCs w:val="20"/>
        </w:rPr>
      </w:pPr>
    </w:p>
    <w:p w:rsidR="00D66A42" w:rsidRDefault="00D66A42" w:rsidP="00FE715D">
      <w:pPr>
        <w:rPr>
          <w:b/>
          <w:sz w:val="32"/>
        </w:rPr>
      </w:pPr>
    </w:p>
    <w:p w:rsidR="00D66A42" w:rsidRDefault="00D66A42" w:rsidP="00FE715D">
      <w:pPr>
        <w:rPr>
          <w:b/>
          <w:sz w:val="32"/>
        </w:rPr>
      </w:pPr>
    </w:p>
    <w:p w:rsidR="00D66A42" w:rsidRDefault="00D66A42" w:rsidP="00FE715D">
      <w:pPr>
        <w:rPr>
          <w:b/>
          <w:sz w:val="32"/>
        </w:rPr>
      </w:pPr>
    </w:p>
    <w:p w:rsidR="00FE715D" w:rsidRPr="00FE715D" w:rsidRDefault="00FE715D" w:rsidP="00FE715D">
      <w:pPr>
        <w:rPr>
          <w:b/>
          <w:sz w:val="32"/>
        </w:rPr>
      </w:pPr>
      <w:bookmarkStart w:id="0" w:name="_GoBack"/>
      <w:bookmarkEnd w:id="0"/>
      <w:r w:rsidRPr="00FE715D">
        <w:rPr>
          <w:b/>
          <w:sz w:val="32"/>
        </w:rPr>
        <w:t>MAXIMUM TIME FRAME</w:t>
      </w:r>
    </w:p>
    <w:p w:rsidR="00FE715D" w:rsidRPr="00FE715D" w:rsidRDefault="00FE715D" w:rsidP="00FE715D">
      <w:pPr>
        <w:rPr>
          <w:rStyle w:val="jsgrdq"/>
          <w:color w:val="000000"/>
        </w:rPr>
      </w:pPr>
      <w:r w:rsidRPr="00FE715D">
        <w:rPr>
          <w:rStyle w:val="jsgrdq"/>
          <w:color w:val="000000"/>
        </w:rPr>
        <w:t>The maximum time (which will not exceed 111% of the course length) allowed for students to complete each course at SAP is stated below (rounded to the nearest full number):</w:t>
      </w:r>
    </w:p>
    <w:tbl>
      <w:tblPr>
        <w:tblStyle w:val="TableGrid"/>
        <w:tblW w:w="0" w:type="auto"/>
        <w:jc w:val="center"/>
        <w:tblLook w:val="04A0" w:firstRow="1" w:lastRow="0" w:firstColumn="1" w:lastColumn="0" w:noHBand="0" w:noVBand="1"/>
      </w:tblPr>
      <w:tblGrid>
        <w:gridCol w:w="2873"/>
        <w:gridCol w:w="1380"/>
        <w:gridCol w:w="1350"/>
        <w:gridCol w:w="2402"/>
        <w:gridCol w:w="2430"/>
      </w:tblGrid>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Program</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Weeks</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Hours</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Max Time Frame Weeks</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Max Time Frame Hours</w:t>
            </w:r>
          </w:p>
        </w:tc>
      </w:tr>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Cosmetology</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52</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1800</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58</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2000</w:t>
            </w:r>
          </w:p>
        </w:tc>
      </w:tr>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Cosmetology 2100</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61</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2100</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68</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2334</w:t>
            </w:r>
          </w:p>
        </w:tc>
      </w:tr>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Esthetics</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18</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600</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20</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667</w:t>
            </w:r>
          </w:p>
        </w:tc>
      </w:tr>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Cosmetology Instructor</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25 (FT)</w:t>
            </w:r>
          </w:p>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50 (PT)</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600</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28</w:t>
            </w:r>
          </w:p>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56</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667</w:t>
            </w:r>
          </w:p>
        </w:tc>
      </w:tr>
      <w:tr w:rsidR="00FE715D" w:rsidRPr="00FE715D" w:rsidTr="00D66A42">
        <w:trPr>
          <w:jc w:val="center"/>
        </w:trPr>
        <w:tc>
          <w:tcPr>
            <w:tcW w:w="2873"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Esthetics Instructor</w:t>
            </w:r>
          </w:p>
        </w:tc>
        <w:tc>
          <w:tcPr>
            <w:tcW w:w="138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12.5 (FT)</w:t>
            </w:r>
          </w:p>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25 (PT)</w:t>
            </w:r>
          </w:p>
        </w:tc>
        <w:tc>
          <w:tcPr>
            <w:tcW w:w="135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300</w:t>
            </w:r>
          </w:p>
        </w:tc>
        <w:tc>
          <w:tcPr>
            <w:tcW w:w="2402"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14</w:t>
            </w:r>
          </w:p>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28</w:t>
            </w:r>
          </w:p>
        </w:tc>
        <w:tc>
          <w:tcPr>
            <w:tcW w:w="2430" w:type="dxa"/>
          </w:tcPr>
          <w:p w:rsidR="00FE715D" w:rsidRPr="00FE715D" w:rsidRDefault="00FE715D" w:rsidP="00FE715D">
            <w:pPr>
              <w:spacing w:after="160" w:line="259" w:lineRule="auto"/>
              <w:rPr>
                <w:rStyle w:val="jsgrdq"/>
                <w:rFonts w:asciiTheme="minorHAnsi" w:hAnsiTheme="minorHAnsi"/>
                <w:color w:val="000000"/>
                <w:sz w:val="22"/>
              </w:rPr>
            </w:pPr>
            <w:r w:rsidRPr="00FE715D">
              <w:rPr>
                <w:rStyle w:val="jsgrdq"/>
                <w:rFonts w:asciiTheme="minorHAnsi" w:hAnsiTheme="minorHAnsi"/>
                <w:color w:val="000000"/>
                <w:sz w:val="22"/>
              </w:rPr>
              <w:t>334</w:t>
            </w:r>
          </w:p>
        </w:tc>
      </w:tr>
    </w:tbl>
    <w:p w:rsidR="00D66A42" w:rsidRDefault="00D66A42" w:rsidP="00D66A42">
      <w:pPr>
        <w:pStyle w:val="NoSpacing"/>
        <w:rPr>
          <w:rStyle w:val="jsgrdq"/>
          <w:color w:val="000000"/>
        </w:rPr>
      </w:pPr>
    </w:p>
    <w:p w:rsidR="00FE715D" w:rsidRPr="00FE715D" w:rsidRDefault="00FE715D" w:rsidP="00FE715D">
      <w:pPr>
        <w:rPr>
          <w:rStyle w:val="jsgrdq"/>
          <w:color w:val="000000"/>
        </w:rPr>
      </w:pPr>
      <w:r w:rsidRPr="00FE715D">
        <w:rPr>
          <w:rStyle w:val="jsgrdq"/>
          <w:color w:val="000000"/>
        </w:rPr>
        <w:t>Students who exceed maximum time frame must be dropped, however, students may pursue re-entry as a cash pay student by following and fulfilling the requirements of the re-entry policy.  Please note, Re-entry is not guaranteed.</w:t>
      </w:r>
    </w:p>
    <w:p w:rsidR="00FE715D" w:rsidRPr="00FE715D" w:rsidRDefault="00FE715D" w:rsidP="00FE715D">
      <w:pPr>
        <w:rPr>
          <w:b/>
          <w:sz w:val="32"/>
        </w:rPr>
      </w:pPr>
      <w:r w:rsidRPr="00FE715D">
        <w:rPr>
          <w:b/>
          <w:sz w:val="32"/>
        </w:rPr>
        <w:t>ACADEMIC PROGRESS EVALUATIONS</w:t>
      </w:r>
    </w:p>
    <w:p w:rsidR="00FE715D" w:rsidRPr="00D66A42" w:rsidRDefault="00FE715D" w:rsidP="00FE715D">
      <w:pPr>
        <w:rPr>
          <w:rFonts w:cstheme="minorHAnsi"/>
          <w:szCs w:val="20"/>
        </w:rPr>
      </w:pPr>
      <w:r w:rsidRPr="00D66A42">
        <w:rPr>
          <w:rFonts w:cstheme="minorHAnsi"/>
          <w:szCs w:val="2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graded as Acceptable or better (See grading scale below).  If the performance does not meet satisfactory requirements, it is not counted and the practical skill assessment must be repeated.  At least 3 comprehensive, practical skill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scale, as listed in items below:</w:t>
      </w:r>
    </w:p>
    <w:p w:rsidR="00FE715D" w:rsidRPr="00D66A42" w:rsidRDefault="00FE715D" w:rsidP="00FE715D">
      <w:pPr>
        <w:numPr>
          <w:ilvl w:val="0"/>
          <w:numId w:val="11"/>
        </w:numPr>
        <w:spacing w:after="0" w:line="240" w:lineRule="auto"/>
        <w:rPr>
          <w:rFonts w:cstheme="minorHAnsi"/>
          <w:b/>
          <w:szCs w:val="20"/>
        </w:rPr>
      </w:pPr>
      <w:r w:rsidRPr="00D66A42">
        <w:rPr>
          <w:rFonts w:cstheme="minorHAnsi"/>
          <w:b/>
          <w:szCs w:val="20"/>
        </w:rPr>
        <w:t>PRACTICAL WORK:</w:t>
      </w:r>
    </w:p>
    <w:p w:rsidR="00FE715D" w:rsidRPr="00D66A42" w:rsidRDefault="00FE715D" w:rsidP="00D66A42">
      <w:pPr>
        <w:pStyle w:val="NoSpacing"/>
        <w:numPr>
          <w:ilvl w:val="0"/>
          <w:numId w:val="12"/>
        </w:numPr>
      </w:pPr>
      <w:r w:rsidRPr="00D66A42">
        <w:t>Manikin sheet must be completed</w:t>
      </w:r>
    </w:p>
    <w:p w:rsidR="00FE715D" w:rsidRPr="00D66A42" w:rsidRDefault="00FE715D" w:rsidP="00D66A42">
      <w:pPr>
        <w:pStyle w:val="NoSpacing"/>
        <w:numPr>
          <w:ilvl w:val="0"/>
          <w:numId w:val="12"/>
        </w:numPr>
      </w:pPr>
      <w:r w:rsidRPr="00D66A42">
        <w:t>All Practical Evaluations must be completed</w:t>
      </w:r>
    </w:p>
    <w:p w:rsidR="00FE715D" w:rsidRPr="00D66A42" w:rsidRDefault="00FE715D" w:rsidP="00D66A42">
      <w:pPr>
        <w:pStyle w:val="NoSpacing"/>
        <w:numPr>
          <w:ilvl w:val="0"/>
          <w:numId w:val="12"/>
        </w:numPr>
      </w:pPr>
      <w:r w:rsidRPr="00D66A42">
        <w:t>Beginning with the August 2019 Cosmetology/Esthetics classes, clinical service minimums are required of each student.</w:t>
      </w:r>
    </w:p>
    <w:p w:rsidR="00FE715D" w:rsidRPr="00D66A42" w:rsidRDefault="00FE715D" w:rsidP="00FE715D">
      <w:pPr>
        <w:numPr>
          <w:ilvl w:val="0"/>
          <w:numId w:val="11"/>
        </w:numPr>
        <w:spacing w:after="0" w:line="240" w:lineRule="auto"/>
        <w:rPr>
          <w:rFonts w:cstheme="minorHAnsi"/>
          <w:b/>
          <w:szCs w:val="20"/>
        </w:rPr>
      </w:pPr>
      <w:r w:rsidRPr="00D66A42">
        <w:rPr>
          <w:rFonts w:cstheme="minorHAnsi"/>
          <w:b/>
          <w:szCs w:val="20"/>
        </w:rPr>
        <w:t>GRADING SCALE – ALL PROGRAMS – WRITTEN TESTS AND PRACTICAL WORK</w:t>
      </w:r>
    </w:p>
    <w:tbl>
      <w:tblPr>
        <w:tblStyle w:val="TableGrid"/>
        <w:tblW w:w="0" w:type="auto"/>
        <w:tblInd w:w="720" w:type="dxa"/>
        <w:tblLook w:val="04A0" w:firstRow="1" w:lastRow="0" w:firstColumn="1" w:lastColumn="0" w:noHBand="0" w:noVBand="1"/>
      </w:tblPr>
      <w:tblGrid>
        <w:gridCol w:w="535"/>
        <w:gridCol w:w="2250"/>
        <w:gridCol w:w="1440"/>
      </w:tblGrid>
      <w:tr w:rsidR="00FE715D" w:rsidRPr="00D66A42" w:rsidTr="00D47B74">
        <w:tc>
          <w:tcPr>
            <w:tcW w:w="535"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1</w:t>
            </w:r>
          </w:p>
        </w:tc>
        <w:tc>
          <w:tcPr>
            <w:tcW w:w="225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Excellent</w:t>
            </w:r>
          </w:p>
        </w:tc>
        <w:tc>
          <w:tcPr>
            <w:tcW w:w="144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93% to 100%</w:t>
            </w:r>
          </w:p>
        </w:tc>
      </w:tr>
      <w:tr w:rsidR="00FE715D" w:rsidRPr="00D66A42" w:rsidTr="00D47B74">
        <w:tc>
          <w:tcPr>
            <w:tcW w:w="535"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2</w:t>
            </w:r>
          </w:p>
        </w:tc>
        <w:tc>
          <w:tcPr>
            <w:tcW w:w="225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Very Good</w:t>
            </w:r>
          </w:p>
        </w:tc>
        <w:tc>
          <w:tcPr>
            <w:tcW w:w="144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86% to 92%</w:t>
            </w:r>
          </w:p>
        </w:tc>
      </w:tr>
      <w:tr w:rsidR="00FE715D" w:rsidRPr="00D66A42" w:rsidTr="00D47B74">
        <w:tc>
          <w:tcPr>
            <w:tcW w:w="535"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3</w:t>
            </w:r>
          </w:p>
        </w:tc>
        <w:tc>
          <w:tcPr>
            <w:tcW w:w="225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Good</w:t>
            </w:r>
          </w:p>
        </w:tc>
        <w:tc>
          <w:tcPr>
            <w:tcW w:w="144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80% to 85%</w:t>
            </w:r>
          </w:p>
        </w:tc>
      </w:tr>
      <w:tr w:rsidR="00FE715D" w:rsidRPr="00D66A42" w:rsidTr="00D47B74">
        <w:tc>
          <w:tcPr>
            <w:tcW w:w="535"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4</w:t>
            </w:r>
          </w:p>
        </w:tc>
        <w:tc>
          <w:tcPr>
            <w:tcW w:w="225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Acceptable</w:t>
            </w:r>
          </w:p>
        </w:tc>
        <w:tc>
          <w:tcPr>
            <w:tcW w:w="144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75% to 79%</w:t>
            </w:r>
          </w:p>
        </w:tc>
      </w:tr>
      <w:tr w:rsidR="00FE715D" w:rsidRPr="00D66A42" w:rsidTr="00D47B74">
        <w:tc>
          <w:tcPr>
            <w:tcW w:w="535"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5</w:t>
            </w:r>
          </w:p>
        </w:tc>
        <w:tc>
          <w:tcPr>
            <w:tcW w:w="225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Needs Improvement</w:t>
            </w:r>
          </w:p>
        </w:tc>
        <w:tc>
          <w:tcPr>
            <w:tcW w:w="1440" w:type="dxa"/>
          </w:tcPr>
          <w:p w:rsidR="00FE715D" w:rsidRPr="00D66A42" w:rsidRDefault="00FE715D" w:rsidP="00D47B74">
            <w:pPr>
              <w:rPr>
                <w:rFonts w:asciiTheme="minorHAnsi" w:hAnsiTheme="minorHAnsi" w:cstheme="minorHAnsi"/>
                <w:b/>
                <w:sz w:val="22"/>
                <w:szCs w:val="20"/>
              </w:rPr>
            </w:pPr>
            <w:r w:rsidRPr="00D66A42">
              <w:rPr>
                <w:rFonts w:asciiTheme="minorHAnsi" w:hAnsiTheme="minorHAnsi" w:cstheme="minorHAnsi"/>
                <w:b/>
                <w:sz w:val="22"/>
                <w:szCs w:val="20"/>
              </w:rPr>
              <w:t>Below 75%</w:t>
            </w:r>
          </w:p>
        </w:tc>
      </w:tr>
    </w:tbl>
    <w:p w:rsidR="00FE715D" w:rsidRPr="00D66A42" w:rsidRDefault="00FE715D" w:rsidP="00FE715D">
      <w:pPr>
        <w:ind w:left="720"/>
        <w:rPr>
          <w:rFonts w:cstheme="minorHAnsi"/>
          <w:szCs w:val="20"/>
        </w:rPr>
      </w:pPr>
      <w:r w:rsidRPr="00D66A42">
        <w:rPr>
          <w:rFonts w:cstheme="minorHAnsi"/>
          <w:b/>
          <w:szCs w:val="20"/>
        </w:rPr>
        <w:t>A minimum of 75% is considered “passing” on all tests</w:t>
      </w:r>
    </w:p>
    <w:p w:rsidR="00FE715D" w:rsidRPr="00B54A04" w:rsidRDefault="00FE715D" w:rsidP="00FE715D">
      <w:pPr>
        <w:rPr>
          <w:rFonts w:ascii="Century Gothic" w:hAnsi="Century Gothic"/>
          <w:sz w:val="20"/>
          <w:szCs w:val="20"/>
        </w:rPr>
      </w:pPr>
    </w:p>
    <w:p w:rsidR="00FE715D" w:rsidRPr="00FE715D" w:rsidRDefault="00FE715D" w:rsidP="00FE715D">
      <w:pPr>
        <w:rPr>
          <w:b/>
          <w:sz w:val="32"/>
        </w:rPr>
      </w:pPr>
      <w:r w:rsidRPr="00FE715D">
        <w:rPr>
          <w:b/>
          <w:sz w:val="32"/>
        </w:rPr>
        <w:t>DETERMINATION OF PROGRESS STATUS</w:t>
      </w:r>
    </w:p>
    <w:p w:rsidR="00FE715D" w:rsidRPr="00D66A42" w:rsidRDefault="00FE715D" w:rsidP="00FE715D">
      <w:pPr>
        <w:rPr>
          <w:rFonts w:cstheme="minorHAnsi"/>
          <w:b/>
          <w:bCs/>
          <w:szCs w:val="20"/>
        </w:rPr>
      </w:pPr>
      <w:r w:rsidRPr="00D66A42">
        <w:rPr>
          <w:rFonts w:cstheme="minorHAnsi"/>
          <w:b/>
          <w:bCs/>
          <w:szCs w:val="20"/>
        </w:rPr>
        <w:t>Students meeting the minimum requirements for academics and attendance are considered to be making SAP until the next scheduled evaluation.</w:t>
      </w:r>
      <w:r w:rsidRPr="00D66A42">
        <w:rPr>
          <w:rFonts w:cstheme="minorHAnsi"/>
          <w:szCs w:val="20"/>
        </w:rPr>
        <w:t xml:space="preserve">  Students will receive a hard copy of their SAP determination at the time of each of the evaluations (occurring no later than 7 School Business Days following the established evaluation point).  Copies of SAP evaluations are also placed in the student’s file.  </w:t>
      </w:r>
      <w:r w:rsidRPr="00D66A42">
        <w:rPr>
          <w:rFonts w:cstheme="minorHAnsi"/>
          <w:b/>
          <w:bCs/>
          <w:szCs w:val="20"/>
        </w:rPr>
        <w:t xml:space="preserve">A student who does not achieve the minimum standards for SAP is no longer eligible for Title IV, HEA program funds, and/or VA benefits unless the student is placed on “Financial Aid Warning” or has prevailed upon appeal resulting in a status of probation.  </w:t>
      </w:r>
    </w:p>
    <w:p w:rsidR="00FE715D" w:rsidRPr="00FE715D" w:rsidRDefault="00FE715D" w:rsidP="00FE715D">
      <w:pPr>
        <w:rPr>
          <w:b/>
          <w:sz w:val="32"/>
        </w:rPr>
      </w:pPr>
      <w:r w:rsidRPr="00FE715D">
        <w:rPr>
          <w:b/>
          <w:sz w:val="32"/>
        </w:rPr>
        <w:t xml:space="preserve">FINANCIAL AID WARNING </w:t>
      </w:r>
    </w:p>
    <w:p w:rsidR="00FE715D" w:rsidRPr="00D66A42" w:rsidRDefault="00FE715D" w:rsidP="00FE715D">
      <w:pPr>
        <w:pStyle w:val="Heading6"/>
        <w:spacing w:before="1"/>
        <w:jc w:val="left"/>
        <w:rPr>
          <w:rFonts w:asciiTheme="minorHAnsi" w:hAnsiTheme="minorHAnsi" w:cstheme="minorHAnsi"/>
          <w:sz w:val="22"/>
          <w:szCs w:val="20"/>
        </w:rPr>
      </w:pPr>
      <w:r w:rsidRPr="00D66A42">
        <w:rPr>
          <w:rFonts w:asciiTheme="minorHAnsi" w:hAnsiTheme="minorHAnsi" w:cstheme="minorHAnsi"/>
          <w:sz w:val="22"/>
          <w:szCs w:val="20"/>
        </w:rPr>
        <w:t xml:space="preserve">Students who fail to meet minimum requirements for attendance or academic progress are placed on “Warning” and considered to be making SAP progress during the warning period.  The student will be advised in writing on the actions required to attain SAP by the next evaluation.  </w:t>
      </w:r>
      <w:r w:rsidRPr="00D66A42">
        <w:rPr>
          <w:rFonts w:asciiTheme="minorHAnsi" w:hAnsiTheme="minorHAnsi" w:cstheme="minorHAnsi"/>
          <w:b w:val="0"/>
          <w:sz w:val="22"/>
          <w:szCs w:val="20"/>
          <w:lang w:val="en"/>
        </w:rPr>
        <w:t xml:space="preserve">Students not meeting Satisfactory Academic Progress standards can re-establish SAP and/or financial aid eligibility by attaining the minimum requirements for attendance and academics </w:t>
      </w:r>
      <w:r w:rsidRPr="00D66A42">
        <w:rPr>
          <w:rFonts w:asciiTheme="minorHAnsi" w:hAnsiTheme="minorHAnsi" w:cstheme="minorHAnsi"/>
          <w:bCs w:val="0"/>
          <w:sz w:val="22"/>
          <w:szCs w:val="20"/>
          <w:lang w:val="en"/>
        </w:rPr>
        <w:t>by the next scheduled evaluation</w:t>
      </w:r>
      <w:r w:rsidRPr="00D66A42">
        <w:rPr>
          <w:rFonts w:asciiTheme="minorHAnsi" w:hAnsiTheme="minorHAnsi" w:cstheme="minorHAnsi"/>
          <w:b w:val="0"/>
          <w:sz w:val="22"/>
          <w:szCs w:val="20"/>
          <w:lang w:val="en"/>
        </w:rPr>
        <w:t>.</w:t>
      </w:r>
      <w:r w:rsidRPr="00D66A42">
        <w:rPr>
          <w:rFonts w:asciiTheme="minorHAnsi" w:hAnsiTheme="minorHAnsi" w:cstheme="minorHAnsi"/>
          <w:bCs w:val="0"/>
          <w:sz w:val="22"/>
          <w:szCs w:val="20"/>
          <w:lang w:val="en"/>
        </w:rPr>
        <w:t xml:space="preserve">  </w:t>
      </w:r>
      <w:r w:rsidRPr="00D66A42">
        <w:rPr>
          <w:rFonts w:asciiTheme="minorHAnsi" w:hAnsiTheme="minorHAnsi" w:cstheme="minorHAnsi"/>
          <w:b w:val="0"/>
          <w:bCs w:val="0"/>
          <w:sz w:val="22"/>
          <w:szCs w:val="20"/>
        </w:rPr>
        <w:t xml:space="preserve">If, at the end of the warning period, the student has still not met both the attendance and academic requirements, the student will be deemed ineligible to receive Title IV, HEA program funds, and/or VA benefits, and may be </w:t>
      </w:r>
      <w:r w:rsidRPr="00D66A42">
        <w:rPr>
          <w:rFonts w:asciiTheme="minorHAnsi" w:hAnsiTheme="minorHAnsi" w:cstheme="minorHAnsi"/>
          <w:sz w:val="22"/>
          <w:szCs w:val="20"/>
        </w:rPr>
        <w:t>terminated from the program, unless the student is eligible to appeal the negative progress determination and meets the requirements to be able to be placed on Probation.</w:t>
      </w:r>
    </w:p>
    <w:p w:rsidR="00FE715D" w:rsidRPr="00B54A04" w:rsidRDefault="00FE715D" w:rsidP="00FE715D">
      <w:pPr>
        <w:pStyle w:val="Heading6"/>
        <w:spacing w:before="1"/>
        <w:jc w:val="left"/>
        <w:rPr>
          <w:rFonts w:ascii="Century Gothic" w:hAnsi="Century Gothic"/>
          <w:sz w:val="20"/>
          <w:szCs w:val="20"/>
        </w:rPr>
      </w:pPr>
    </w:p>
    <w:p w:rsidR="00FE715D" w:rsidRPr="00FE715D" w:rsidRDefault="00FE715D" w:rsidP="00FE715D">
      <w:pPr>
        <w:rPr>
          <w:b/>
          <w:sz w:val="32"/>
        </w:rPr>
      </w:pPr>
      <w:bookmarkStart w:id="1" w:name="_Hlk90459137"/>
      <w:r w:rsidRPr="00FE715D">
        <w:rPr>
          <w:b/>
          <w:sz w:val="32"/>
        </w:rPr>
        <w:t>FINANCIAL AID PROBATION</w:t>
      </w:r>
    </w:p>
    <w:p w:rsidR="00FE715D" w:rsidRPr="00D66A42" w:rsidRDefault="00FE715D" w:rsidP="00FE715D">
      <w:pPr>
        <w:pStyle w:val="Heading6"/>
        <w:spacing w:before="1"/>
        <w:jc w:val="left"/>
        <w:rPr>
          <w:rFonts w:asciiTheme="minorHAnsi" w:hAnsiTheme="minorHAnsi" w:cstheme="minorHAnsi"/>
          <w:sz w:val="22"/>
          <w:szCs w:val="20"/>
        </w:rPr>
      </w:pPr>
      <w:r w:rsidRPr="00D66A42">
        <w:rPr>
          <w:rFonts w:asciiTheme="minorHAnsi" w:hAnsiTheme="minorHAnsi" w:cstheme="minorHAnsi"/>
          <w:b w:val="0"/>
          <w:bCs w:val="0"/>
          <w:sz w:val="22"/>
          <w:szCs w:val="20"/>
        </w:rPr>
        <w:t xml:space="preserve">Students who fail to meet minimum requirements for attendance or academic progress after the warning period will be placed on probation and considered to be making satisfactory academic progress during the probationary period, </w:t>
      </w:r>
      <w:r w:rsidRPr="00D66A42">
        <w:rPr>
          <w:rFonts w:asciiTheme="minorHAnsi" w:hAnsiTheme="minorHAnsi" w:cstheme="minorHAnsi"/>
          <w:b w:val="0"/>
          <w:bCs w:val="0"/>
          <w:sz w:val="22"/>
          <w:szCs w:val="20"/>
          <w:u w:val="single"/>
        </w:rPr>
        <w:t xml:space="preserve">if the student appeals the negative progress determination and prevails upon appeal. </w:t>
      </w:r>
      <w:r w:rsidRPr="00D66A42">
        <w:rPr>
          <w:rFonts w:asciiTheme="minorHAnsi" w:hAnsiTheme="minorHAnsi" w:cstheme="minorHAnsi"/>
          <w:b w:val="0"/>
          <w:bCs w:val="0"/>
          <w:sz w:val="22"/>
          <w:szCs w:val="20"/>
        </w:rPr>
        <w:t>Additionally, only students who have the ability to meet the Satisfactory Academic Progress Policy standards by the end of the evaluation period may be placed on probation.  Students placed on an academic plan must be able to meet requirements set forth in the academic plan within their maximum timeframe.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ineligible to receive Title IV funds and</w:t>
      </w:r>
      <w:r w:rsidRPr="00D66A42">
        <w:rPr>
          <w:rFonts w:asciiTheme="minorHAnsi" w:hAnsiTheme="minorHAnsi" w:cstheme="minorHAnsi"/>
          <w:sz w:val="22"/>
          <w:szCs w:val="20"/>
        </w:rPr>
        <w:t xml:space="preserve"> </w:t>
      </w:r>
      <w:r w:rsidRPr="00D66A42">
        <w:rPr>
          <w:rFonts w:asciiTheme="minorHAnsi" w:hAnsiTheme="minorHAnsi" w:cstheme="minorHAnsi"/>
          <w:b w:val="0"/>
          <w:bCs w:val="0"/>
          <w:sz w:val="22"/>
          <w:szCs w:val="20"/>
        </w:rPr>
        <w:t>may be terminated from the program.</w:t>
      </w:r>
      <w:r w:rsidRPr="00D66A42">
        <w:rPr>
          <w:rFonts w:asciiTheme="minorHAnsi" w:hAnsiTheme="minorHAnsi" w:cstheme="minorHAnsi"/>
          <w:sz w:val="22"/>
          <w:szCs w:val="20"/>
        </w:rPr>
        <w:t xml:space="preserve">   </w:t>
      </w:r>
    </w:p>
    <w:p w:rsidR="00FE715D" w:rsidRPr="00B54A04" w:rsidRDefault="00FE715D" w:rsidP="00FE715D">
      <w:pPr>
        <w:pStyle w:val="Heading6"/>
        <w:spacing w:before="1"/>
        <w:jc w:val="left"/>
        <w:rPr>
          <w:rFonts w:ascii="Century Gothic" w:hAnsi="Century Gothic"/>
          <w:caps/>
          <w:sz w:val="20"/>
          <w:szCs w:val="20"/>
        </w:rPr>
      </w:pPr>
    </w:p>
    <w:p w:rsidR="00FE715D" w:rsidRPr="00FE715D" w:rsidRDefault="00FE715D" w:rsidP="00FE715D">
      <w:pPr>
        <w:rPr>
          <w:b/>
          <w:sz w:val="32"/>
        </w:rPr>
      </w:pPr>
      <w:r w:rsidRPr="00FE715D">
        <w:rPr>
          <w:b/>
          <w:sz w:val="32"/>
        </w:rPr>
        <w:t>Appeal procedure</w:t>
      </w:r>
    </w:p>
    <w:p w:rsidR="00FE715D" w:rsidRPr="00D66A42" w:rsidRDefault="00FE715D" w:rsidP="00FE715D">
      <w:pPr>
        <w:pStyle w:val="Heading6"/>
        <w:spacing w:before="1"/>
        <w:jc w:val="left"/>
        <w:rPr>
          <w:rFonts w:asciiTheme="minorHAnsi" w:hAnsiTheme="minorHAnsi" w:cstheme="minorHAnsi"/>
          <w:b w:val="0"/>
          <w:bCs w:val="0"/>
          <w:caps/>
          <w:sz w:val="22"/>
          <w:szCs w:val="20"/>
        </w:rPr>
      </w:pPr>
      <w:r w:rsidRPr="00D66A42">
        <w:rPr>
          <w:rFonts w:asciiTheme="minorHAnsi" w:hAnsiTheme="minorHAnsi" w:cstheme="minorHAnsi"/>
          <w:b w:val="0"/>
          <w:bCs w:val="0"/>
          <w:sz w:val="22"/>
          <w:szCs w:val="20"/>
        </w:rPr>
        <w:t xml:space="preserve">If a student is determined to not be making satisfactory academic progress at the end of the Warning Period, the student may appeal the determination within fourteen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  If a student does not prevail upon appeal, the student will be terminated.  Please note:  Refunds are calculated based on the student’s last date of attendance. </w:t>
      </w:r>
    </w:p>
    <w:bookmarkEnd w:id="1"/>
    <w:p w:rsidR="00FE715D" w:rsidRPr="00D66A42" w:rsidRDefault="00FE715D" w:rsidP="00FE6036">
      <w:pPr>
        <w:tabs>
          <w:tab w:val="left" w:pos="4594"/>
        </w:tabs>
        <w:rPr>
          <w:rFonts w:cstheme="minorHAnsi"/>
          <w:sz w:val="24"/>
        </w:rPr>
      </w:pPr>
    </w:p>
    <w:sectPr w:rsidR="00FE715D" w:rsidRPr="00D66A42" w:rsidSect="00DA57D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39" w:rsidRDefault="00E91639" w:rsidP="00E91639">
      <w:pPr>
        <w:spacing w:after="0" w:line="240" w:lineRule="auto"/>
      </w:pPr>
      <w:r>
        <w:separator/>
      </w:r>
    </w:p>
  </w:endnote>
  <w:endnote w:type="continuationSeparator" w:id="0">
    <w:p w:rsidR="00E91639" w:rsidRDefault="00E91639" w:rsidP="00E9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D9" w:rsidRDefault="00DA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A0" w:rsidRPr="003D3495" w:rsidRDefault="003D3495" w:rsidP="008402A0">
    <w:pPr>
      <w:pStyle w:val="Footer"/>
      <w:jc w:val="center"/>
      <w:rPr>
        <w:sz w:val="20"/>
        <w:szCs w:val="20"/>
      </w:rPr>
    </w:pPr>
    <w:r w:rsidRPr="003D3495">
      <w:rPr>
        <w:sz w:val="20"/>
        <w:szCs w:val="20"/>
      </w:rPr>
      <w:t>CAPITOL BEAUTY SCHOOL | 10803 JOHN GALT BLVD OMAHA, NE, 68137 | CAPTIOLOMAHA.COM | 402.333.3329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D9" w:rsidRDefault="00DA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39" w:rsidRDefault="00E91639" w:rsidP="00E91639">
      <w:pPr>
        <w:spacing w:after="0" w:line="240" w:lineRule="auto"/>
      </w:pPr>
      <w:r>
        <w:separator/>
      </w:r>
    </w:p>
  </w:footnote>
  <w:footnote w:type="continuationSeparator" w:id="0">
    <w:p w:rsidR="00E91639" w:rsidRDefault="00E91639" w:rsidP="00E9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D9" w:rsidRDefault="00DA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9A" w:rsidRDefault="005F6B9A">
    <w:pPr>
      <w:pStyle w:val="Header"/>
    </w:pPr>
    <w:r w:rsidRPr="001E3836">
      <w:rPr>
        <w:rFonts w:ascii="Calibri" w:hAnsi="Calibri" w:cs="Calibri"/>
        <w:b/>
        <w:noProof/>
        <w:sz w:val="44"/>
      </w:rPr>
      <mc:AlternateContent>
        <mc:Choice Requires="wps">
          <w:drawing>
            <wp:anchor distT="0" distB="0" distL="114300" distR="114300" simplePos="0" relativeHeight="251659264" behindDoc="0" locked="0" layoutInCell="1" allowOverlap="1" wp14:anchorId="03E620C3" wp14:editId="2E839E86">
              <wp:simplePos x="0" y="0"/>
              <wp:positionH relativeFrom="page">
                <wp:posOffset>9525</wp:posOffset>
              </wp:positionH>
              <wp:positionV relativeFrom="paragraph">
                <wp:posOffset>-447675</wp:posOffset>
              </wp:positionV>
              <wp:extent cx="8225155" cy="438150"/>
              <wp:effectExtent l="0" t="0" r="4445" b="0"/>
              <wp:wrapNone/>
              <wp:docPr id="6" name="Rectangle 6"/>
              <wp:cNvGraphicFramePr/>
              <a:graphic xmlns:a="http://schemas.openxmlformats.org/drawingml/2006/main">
                <a:graphicData uri="http://schemas.microsoft.com/office/word/2010/wordprocessingShape">
                  <wps:wsp>
                    <wps:cNvSpPr/>
                    <wps:spPr>
                      <a:xfrm>
                        <a:off x="0" y="0"/>
                        <a:ext cx="8225155" cy="438150"/>
                      </a:xfrm>
                      <a:prstGeom prst="rect">
                        <a:avLst/>
                      </a:prstGeom>
                      <a:solidFill>
                        <a:srgbClr val="C2A6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E6D90" id="Rectangle 6" o:spid="_x0000_s1026" style="position:absolute;margin-left:.75pt;margin-top:-35.25pt;width:647.65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" fillcolor="#c2a678" stroked="f" strokeweight="1pt">
              <w10:wrap anchorx="page"/>
            </v:rect>
          </w:pict>
        </mc:Fallback>
      </mc:AlternateContent>
    </w:r>
    <w:r w:rsidRPr="001E3836">
      <w:rPr>
        <w:rFonts w:ascii="Calibri" w:hAnsi="Calibri" w:cs="Calibri"/>
        <w:b/>
        <w:noProof/>
        <w:sz w:val="44"/>
      </w:rPr>
      <mc:AlternateContent>
        <mc:Choice Requires="wps">
          <w:drawing>
            <wp:anchor distT="0" distB="0" distL="114300" distR="114300" simplePos="0" relativeHeight="251661312" behindDoc="0" locked="0" layoutInCell="1" allowOverlap="1" wp14:anchorId="7EB4AFDC" wp14:editId="74CB79F6">
              <wp:simplePos x="0" y="0"/>
              <wp:positionH relativeFrom="page">
                <wp:posOffset>8467</wp:posOffset>
              </wp:positionH>
              <wp:positionV relativeFrom="paragraph">
                <wp:posOffset>-5715</wp:posOffset>
              </wp:positionV>
              <wp:extent cx="7776845" cy="169545"/>
              <wp:effectExtent l="0" t="0" r="0" b="1905"/>
              <wp:wrapNone/>
              <wp:docPr id="13" name="Rectangle 13"/>
              <wp:cNvGraphicFramePr/>
              <a:graphic xmlns:a="http://schemas.openxmlformats.org/drawingml/2006/main">
                <a:graphicData uri="http://schemas.microsoft.com/office/word/2010/wordprocessingShape">
                  <wps:wsp>
                    <wps:cNvSpPr/>
                    <wps:spPr>
                      <a:xfrm>
                        <a:off x="0" y="0"/>
                        <a:ext cx="7776845" cy="169545"/>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FB37" id="Rectangle 13" o:spid="_x0000_s1026" style="position:absolute;margin-left:.65pt;margin-top:-.45pt;width:612.3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" fillcolor="#d9d9d9"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D9" w:rsidRDefault="00DA5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652C"/>
    <w:multiLevelType w:val="hybridMultilevel"/>
    <w:tmpl w:val="0222133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476B17"/>
    <w:multiLevelType w:val="hybridMultilevel"/>
    <w:tmpl w:val="84C2A31A"/>
    <w:lvl w:ilvl="0" w:tplc="59928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5A38"/>
    <w:multiLevelType w:val="hybridMultilevel"/>
    <w:tmpl w:val="7A4E681E"/>
    <w:lvl w:ilvl="0" w:tplc="04090013">
      <w:start w:val="1"/>
      <w:numFmt w:val="upperRoman"/>
      <w:lvlText w:val="%1."/>
      <w:lvlJc w:val="righ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9466D9"/>
    <w:multiLevelType w:val="hybridMultilevel"/>
    <w:tmpl w:val="B83EB65C"/>
    <w:lvl w:ilvl="0" w:tplc="060A07A0">
      <w:start w:val="1"/>
      <w:numFmt w:val="bullet"/>
      <w:lvlText w:val=""/>
      <w:lvlJc w:val="left"/>
      <w:pPr>
        <w:tabs>
          <w:tab w:val="num" w:pos="1080"/>
        </w:tabs>
        <w:ind w:left="1080" w:hanging="360"/>
      </w:pPr>
      <w:rPr>
        <w:rFonts w:ascii="Wingdings" w:hAnsi="Wingdings" w:hint="default"/>
      </w:rPr>
    </w:lvl>
    <w:lvl w:ilvl="1" w:tplc="D0C49ABC" w:tentative="1">
      <w:start w:val="1"/>
      <w:numFmt w:val="bullet"/>
      <w:lvlText w:val="o"/>
      <w:lvlJc w:val="left"/>
      <w:pPr>
        <w:tabs>
          <w:tab w:val="num" w:pos="1440"/>
        </w:tabs>
        <w:ind w:left="1440" w:hanging="360"/>
      </w:pPr>
      <w:rPr>
        <w:rFonts w:ascii="Courier New" w:hAnsi="Courier New" w:cs="Courier New" w:hint="default"/>
      </w:rPr>
    </w:lvl>
    <w:lvl w:ilvl="2" w:tplc="B3AA3754" w:tentative="1">
      <w:start w:val="1"/>
      <w:numFmt w:val="bullet"/>
      <w:lvlText w:val=""/>
      <w:lvlJc w:val="left"/>
      <w:pPr>
        <w:tabs>
          <w:tab w:val="num" w:pos="2160"/>
        </w:tabs>
        <w:ind w:left="2160" w:hanging="360"/>
      </w:pPr>
      <w:rPr>
        <w:rFonts w:ascii="Wingdings" w:hAnsi="Wingdings" w:hint="default"/>
      </w:rPr>
    </w:lvl>
    <w:lvl w:ilvl="3" w:tplc="1902D280" w:tentative="1">
      <w:start w:val="1"/>
      <w:numFmt w:val="bullet"/>
      <w:lvlText w:val=""/>
      <w:lvlJc w:val="left"/>
      <w:pPr>
        <w:tabs>
          <w:tab w:val="num" w:pos="2880"/>
        </w:tabs>
        <w:ind w:left="2880" w:hanging="360"/>
      </w:pPr>
      <w:rPr>
        <w:rFonts w:ascii="Symbol" w:hAnsi="Symbol" w:hint="default"/>
      </w:rPr>
    </w:lvl>
    <w:lvl w:ilvl="4" w:tplc="34C248F8" w:tentative="1">
      <w:start w:val="1"/>
      <w:numFmt w:val="bullet"/>
      <w:lvlText w:val="o"/>
      <w:lvlJc w:val="left"/>
      <w:pPr>
        <w:tabs>
          <w:tab w:val="num" w:pos="3600"/>
        </w:tabs>
        <w:ind w:left="3600" w:hanging="360"/>
      </w:pPr>
      <w:rPr>
        <w:rFonts w:ascii="Courier New" w:hAnsi="Courier New" w:cs="Courier New" w:hint="default"/>
      </w:rPr>
    </w:lvl>
    <w:lvl w:ilvl="5" w:tplc="C6240BC6" w:tentative="1">
      <w:start w:val="1"/>
      <w:numFmt w:val="bullet"/>
      <w:lvlText w:val=""/>
      <w:lvlJc w:val="left"/>
      <w:pPr>
        <w:tabs>
          <w:tab w:val="num" w:pos="4320"/>
        </w:tabs>
        <w:ind w:left="4320" w:hanging="360"/>
      </w:pPr>
      <w:rPr>
        <w:rFonts w:ascii="Wingdings" w:hAnsi="Wingdings" w:hint="default"/>
      </w:rPr>
    </w:lvl>
    <w:lvl w:ilvl="6" w:tplc="119CD96E" w:tentative="1">
      <w:start w:val="1"/>
      <w:numFmt w:val="bullet"/>
      <w:lvlText w:val=""/>
      <w:lvlJc w:val="left"/>
      <w:pPr>
        <w:tabs>
          <w:tab w:val="num" w:pos="5040"/>
        </w:tabs>
        <w:ind w:left="5040" w:hanging="360"/>
      </w:pPr>
      <w:rPr>
        <w:rFonts w:ascii="Symbol" w:hAnsi="Symbol" w:hint="default"/>
      </w:rPr>
    </w:lvl>
    <w:lvl w:ilvl="7" w:tplc="D4AC7FC6" w:tentative="1">
      <w:start w:val="1"/>
      <w:numFmt w:val="bullet"/>
      <w:lvlText w:val="o"/>
      <w:lvlJc w:val="left"/>
      <w:pPr>
        <w:tabs>
          <w:tab w:val="num" w:pos="5760"/>
        </w:tabs>
        <w:ind w:left="5760" w:hanging="360"/>
      </w:pPr>
      <w:rPr>
        <w:rFonts w:ascii="Courier New" w:hAnsi="Courier New" w:cs="Courier New" w:hint="default"/>
      </w:rPr>
    </w:lvl>
    <w:lvl w:ilvl="8" w:tplc="323C7B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5528D"/>
    <w:multiLevelType w:val="hybridMultilevel"/>
    <w:tmpl w:val="88A0F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96346"/>
    <w:multiLevelType w:val="hybridMultilevel"/>
    <w:tmpl w:val="7F14B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5010B"/>
    <w:multiLevelType w:val="hybridMultilevel"/>
    <w:tmpl w:val="2ACE8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E5845"/>
    <w:multiLevelType w:val="hybridMultilevel"/>
    <w:tmpl w:val="F546372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9692D"/>
    <w:multiLevelType w:val="hybridMultilevel"/>
    <w:tmpl w:val="C17C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4177C"/>
    <w:multiLevelType w:val="hybridMultilevel"/>
    <w:tmpl w:val="89CAB2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E4EFB"/>
    <w:multiLevelType w:val="hybridMultilevel"/>
    <w:tmpl w:val="79FAC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24891"/>
    <w:multiLevelType w:val="hybridMultilevel"/>
    <w:tmpl w:val="35C67A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9"/>
  </w:num>
  <w:num w:numId="5">
    <w:abstractNumId w:val="11"/>
  </w:num>
  <w:num w:numId="6">
    <w:abstractNumId w:val="4"/>
  </w:num>
  <w:num w:numId="7">
    <w:abstractNumId w:val="10"/>
  </w:num>
  <w:num w:numId="8">
    <w:abstractNumId w:val="6"/>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F"/>
    <w:rsid w:val="00056949"/>
    <w:rsid w:val="00081D1C"/>
    <w:rsid w:val="001E3836"/>
    <w:rsid w:val="002029AD"/>
    <w:rsid w:val="002259FB"/>
    <w:rsid w:val="003D3495"/>
    <w:rsid w:val="004B3726"/>
    <w:rsid w:val="005904DE"/>
    <w:rsid w:val="005F6B9A"/>
    <w:rsid w:val="007D58CF"/>
    <w:rsid w:val="008402A0"/>
    <w:rsid w:val="00A80CEA"/>
    <w:rsid w:val="00B43FEC"/>
    <w:rsid w:val="00B96047"/>
    <w:rsid w:val="00C10C95"/>
    <w:rsid w:val="00CD6292"/>
    <w:rsid w:val="00D66A42"/>
    <w:rsid w:val="00DA57D9"/>
    <w:rsid w:val="00DD6A08"/>
    <w:rsid w:val="00E701D1"/>
    <w:rsid w:val="00E91639"/>
    <w:rsid w:val="00ED310F"/>
    <w:rsid w:val="00FE6036"/>
    <w:rsid w:val="00FE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DD8D1"/>
  <w15:chartTrackingRefBased/>
  <w15:docId w15:val="{A2F338BF-F228-49C1-BFE6-FC2D2804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715D"/>
    <w:pPr>
      <w:widowControl w:val="0"/>
      <w:autoSpaceDE w:val="0"/>
      <w:autoSpaceDN w:val="0"/>
      <w:spacing w:after="0" w:line="240" w:lineRule="auto"/>
      <w:outlineLvl w:val="0"/>
    </w:pPr>
    <w:rPr>
      <w:rFonts w:ascii="Calibri" w:eastAsia="Calibri" w:hAnsi="Calibri" w:cs="Calibri"/>
      <w:sz w:val="56"/>
      <w:szCs w:val="56"/>
    </w:rPr>
  </w:style>
  <w:style w:type="paragraph" w:styleId="Heading2">
    <w:name w:val="heading 2"/>
    <w:basedOn w:val="Normal"/>
    <w:next w:val="Normal"/>
    <w:link w:val="Heading2Char"/>
    <w:uiPriority w:val="9"/>
    <w:semiHidden/>
    <w:unhideWhenUsed/>
    <w:qFormat/>
    <w:rsid w:val="00FE7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unhideWhenUsed/>
    <w:qFormat/>
    <w:rsid w:val="00FE715D"/>
    <w:pPr>
      <w:widowControl w:val="0"/>
      <w:autoSpaceDE w:val="0"/>
      <w:autoSpaceDN w:val="0"/>
      <w:spacing w:after="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B43FEC"/>
  </w:style>
  <w:style w:type="paragraph" w:styleId="Header">
    <w:name w:val="header"/>
    <w:basedOn w:val="Normal"/>
    <w:link w:val="HeaderChar"/>
    <w:uiPriority w:val="99"/>
    <w:unhideWhenUsed/>
    <w:rsid w:val="00E9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39"/>
  </w:style>
  <w:style w:type="paragraph" w:styleId="Footer">
    <w:name w:val="footer"/>
    <w:basedOn w:val="Normal"/>
    <w:link w:val="FooterChar"/>
    <w:uiPriority w:val="99"/>
    <w:unhideWhenUsed/>
    <w:rsid w:val="00E9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39"/>
  </w:style>
  <w:style w:type="paragraph" w:styleId="ListParagraph">
    <w:name w:val="List Paragraph"/>
    <w:basedOn w:val="Normal"/>
    <w:uiPriority w:val="34"/>
    <w:qFormat/>
    <w:rsid w:val="00C10C95"/>
    <w:pPr>
      <w:spacing w:after="0" w:line="240" w:lineRule="auto"/>
      <w:ind w:left="720"/>
      <w:contextualSpacing/>
      <w:jc w:val="both"/>
    </w:pPr>
    <w:rPr>
      <w:rFonts w:ascii="Arial" w:eastAsia="Times New Roman" w:hAnsi="Arial" w:cs="Times New Roman"/>
      <w:sz w:val="24"/>
      <w:szCs w:val="20"/>
    </w:rPr>
  </w:style>
  <w:style w:type="paragraph" w:styleId="NormalWeb">
    <w:name w:val="Normal (Web)"/>
    <w:basedOn w:val="Normal"/>
    <w:uiPriority w:val="99"/>
    <w:unhideWhenUsed/>
    <w:rsid w:val="00C10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DE"/>
    <w:rPr>
      <w:rFonts w:ascii="Segoe UI" w:hAnsi="Segoe UI" w:cs="Segoe UI"/>
      <w:sz w:val="18"/>
      <w:szCs w:val="18"/>
    </w:rPr>
  </w:style>
  <w:style w:type="character" w:customStyle="1" w:styleId="Heading1Char">
    <w:name w:val="Heading 1 Char"/>
    <w:basedOn w:val="DefaultParagraphFont"/>
    <w:link w:val="Heading1"/>
    <w:uiPriority w:val="9"/>
    <w:rsid w:val="00FE715D"/>
    <w:rPr>
      <w:rFonts w:ascii="Calibri" w:eastAsia="Calibri" w:hAnsi="Calibri" w:cs="Calibri"/>
      <w:sz w:val="56"/>
      <w:szCs w:val="56"/>
    </w:rPr>
  </w:style>
  <w:style w:type="character" w:customStyle="1" w:styleId="Heading6Char">
    <w:name w:val="Heading 6 Char"/>
    <w:basedOn w:val="DefaultParagraphFont"/>
    <w:link w:val="Heading6"/>
    <w:uiPriority w:val="9"/>
    <w:rsid w:val="00FE715D"/>
    <w:rPr>
      <w:rFonts w:ascii="Times New Roman" w:eastAsia="Times New Roman" w:hAnsi="Times New Roman" w:cs="Times New Roman"/>
      <w:b/>
      <w:bCs/>
      <w:sz w:val="24"/>
      <w:szCs w:val="24"/>
    </w:rPr>
  </w:style>
  <w:style w:type="paragraph" w:styleId="BodyText">
    <w:name w:val="Body Text"/>
    <w:basedOn w:val="Heading2"/>
    <w:link w:val="BodyTextChar"/>
    <w:uiPriority w:val="1"/>
    <w:qFormat/>
    <w:rsid w:val="00FE715D"/>
    <w:pPr>
      <w:keepNext w:val="0"/>
      <w:keepLines w:val="0"/>
      <w:widowControl w:val="0"/>
      <w:autoSpaceDE w:val="0"/>
      <w:autoSpaceDN w:val="0"/>
      <w:spacing w:before="0" w:line="240" w:lineRule="auto"/>
      <w:ind w:left="340"/>
    </w:pPr>
    <w:rPr>
      <w:rFonts w:ascii="Century Gothic" w:eastAsia="Times New Roman" w:hAnsi="Century Gothic" w:cs="Times New Roman"/>
      <w:color w:val="auto"/>
      <w:sz w:val="24"/>
      <w:szCs w:val="24"/>
    </w:rPr>
  </w:style>
  <w:style w:type="character" w:customStyle="1" w:styleId="BodyTextChar">
    <w:name w:val="Body Text Char"/>
    <w:basedOn w:val="DefaultParagraphFont"/>
    <w:link w:val="BodyText"/>
    <w:uiPriority w:val="1"/>
    <w:rsid w:val="00FE715D"/>
    <w:rPr>
      <w:rFonts w:ascii="Century Gothic" w:eastAsia="Times New Roman" w:hAnsi="Century Gothic" w:cs="Times New Roman"/>
      <w:sz w:val="24"/>
      <w:szCs w:val="24"/>
    </w:rPr>
  </w:style>
  <w:style w:type="table" w:styleId="TableGrid">
    <w:name w:val="Table Grid"/>
    <w:basedOn w:val="TableNormal"/>
    <w:uiPriority w:val="39"/>
    <w:rsid w:val="00FE715D"/>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E71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66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Kleinschmit</dc:creator>
  <cp:keywords/>
  <dc:description/>
  <cp:lastModifiedBy>Susan Collins</cp:lastModifiedBy>
  <cp:revision>2</cp:revision>
  <cp:lastPrinted>2022-11-02T19:27:00Z</cp:lastPrinted>
  <dcterms:created xsi:type="dcterms:W3CDTF">2022-11-16T16:08:00Z</dcterms:created>
  <dcterms:modified xsi:type="dcterms:W3CDTF">2022-11-16T16:08:00Z</dcterms:modified>
</cp:coreProperties>
</file>